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FD" w:rsidRDefault="00004E09" w:rsidP="009F76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9F76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 планировки и проект межевания территории микрорайона Юность-2, ограниченной проспектом Ленинградским, улицами Алтайской и Автомобилистов в Дзержинском районе </w:t>
      </w:r>
    </w:p>
    <w:p w:rsidR="00004E09" w:rsidRPr="009F76FD" w:rsidRDefault="00004E09" w:rsidP="009F76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F76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города Нижний Тагил</w:t>
      </w:r>
    </w:p>
    <w:p w:rsidR="009F76FD" w:rsidRDefault="009F76FD" w:rsidP="009F7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15FA" w:rsidRPr="008215FA" w:rsidRDefault="008215FA" w:rsidP="008215F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15FA">
        <w:rPr>
          <w:rFonts w:ascii="Times New Roman" w:hAnsi="Times New Roman" w:cs="Times New Roman"/>
          <w:b/>
          <w:sz w:val="28"/>
          <w:szCs w:val="28"/>
        </w:rPr>
        <w:t>Предложения по планировке территории (эскиз застройки)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5FA">
        <w:rPr>
          <w:rFonts w:ascii="Times New Roman" w:hAnsi="Times New Roman" w:cs="Times New Roman"/>
          <w:iCs/>
          <w:sz w:val="28"/>
          <w:szCs w:val="28"/>
        </w:rPr>
        <w:t>Участок проектирования разбит на территории различного функционального назначения: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5FA">
        <w:rPr>
          <w:rFonts w:ascii="Times New Roman" w:hAnsi="Times New Roman" w:cs="Times New Roman"/>
          <w:iCs/>
          <w:sz w:val="28"/>
          <w:szCs w:val="28"/>
        </w:rPr>
        <w:t>- жилые зоны;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5FA">
        <w:rPr>
          <w:rFonts w:ascii="Times New Roman" w:hAnsi="Times New Roman" w:cs="Times New Roman"/>
          <w:iCs/>
          <w:sz w:val="28"/>
          <w:szCs w:val="28"/>
        </w:rPr>
        <w:t xml:space="preserve">- общественно-деловые зоны;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5FA">
        <w:rPr>
          <w:rFonts w:ascii="Times New Roman" w:hAnsi="Times New Roman" w:cs="Times New Roman"/>
          <w:iCs/>
          <w:sz w:val="28"/>
          <w:szCs w:val="28"/>
        </w:rPr>
        <w:t>- зоны транспортной инфраструктуры;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5FA">
        <w:rPr>
          <w:rFonts w:ascii="Times New Roman" w:hAnsi="Times New Roman" w:cs="Times New Roman"/>
          <w:iCs/>
          <w:sz w:val="28"/>
          <w:szCs w:val="28"/>
        </w:rPr>
        <w:t>- зоны инженерной инфраструктуры;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5FA">
        <w:rPr>
          <w:rFonts w:ascii="Times New Roman" w:hAnsi="Times New Roman" w:cs="Times New Roman"/>
          <w:iCs/>
          <w:sz w:val="28"/>
          <w:szCs w:val="28"/>
        </w:rPr>
        <w:t>- ландшафтно-рекреационные зоны.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5FA">
        <w:rPr>
          <w:rFonts w:ascii="Times New Roman" w:hAnsi="Times New Roman" w:cs="Times New Roman"/>
          <w:iCs/>
          <w:sz w:val="28"/>
          <w:szCs w:val="28"/>
        </w:rPr>
        <w:t xml:space="preserve">Участок проектирования имеет расчетную численность населения – 8 тыс. 300 человек. Для </w:t>
      </w:r>
      <w:proofErr w:type="spellStart"/>
      <w:r w:rsidRPr="008215FA">
        <w:rPr>
          <w:rFonts w:ascii="Times New Roman" w:hAnsi="Times New Roman" w:cs="Times New Roman"/>
          <w:iCs/>
          <w:sz w:val="28"/>
          <w:szCs w:val="28"/>
        </w:rPr>
        <w:t>вписания</w:t>
      </w:r>
      <w:proofErr w:type="spellEnd"/>
      <w:r w:rsidRPr="008215FA">
        <w:rPr>
          <w:rFonts w:ascii="Times New Roman" w:hAnsi="Times New Roman" w:cs="Times New Roman"/>
          <w:iCs/>
          <w:sz w:val="28"/>
          <w:szCs w:val="28"/>
        </w:rPr>
        <w:t xml:space="preserve"> микрорайона в планировочную структуру города и создания законченной архитектурно-планировочной композиции, предусмотрено размещение жилых домов различных типов.</w:t>
      </w:r>
    </w:p>
    <w:p w:rsidR="008215FA" w:rsidRPr="008215FA" w:rsidRDefault="008215FA" w:rsidP="0082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215FA" w:rsidRPr="008215FA" w:rsidRDefault="008215FA" w:rsidP="008215F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b/>
          <w:iCs/>
          <w:sz w:val="28"/>
          <w:szCs w:val="28"/>
        </w:rPr>
        <w:t>Жилая зона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Жилая зона распределена по видам застройки </w:t>
      </w:r>
      <w:proofErr w:type="gramStart"/>
      <w:r w:rsidRPr="008215FA">
        <w:rPr>
          <w:rFonts w:ascii="Times New Roman" w:eastAsia="Calibri" w:hAnsi="Times New Roman" w:cs="Times New Roman"/>
          <w:iCs/>
          <w:sz w:val="28"/>
          <w:szCs w:val="28"/>
        </w:rPr>
        <w:t>на</w:t>
      </w:r>
      <w:proofErr w:type="gramEnd"/>
      <w:r w:rsidRPr="008215FA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- зоны застройки жилыми домами многоэтажными секционного типа (9 и 12 этажей), площадью территории 4,8 га, рассчитанной на 3 900 человек.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- зоны застройки жилыми домами средне этажными секционного типа (5 и 7 этажей), площадью территории 6,1 га, рассчитанной на 3 400 человек.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- зоны застройки жилыми домами малоэтажными секционного типа и блокированного типа (3 этажа), площадью территории 4,1 га, рассчитанной на 1 000 человек.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Pr="008215F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Общий баланс территории микрорайона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992"/>
        <w:gridCol w:w="992"/>
        <w:gridCol w:w="851"/>
        <w:gridCol w:w="850"/>
      </w:tblGrid>
      <w:tr w:rsidR="008215FA" w:rsidRPr="008215FA" w:rsidTr="008215FA">
        <w:tc>
          <w:tcPr>
            <w:tcW w:w="6062" w:type="dxa"/>
            <w:vMerge w:val="restart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Наименование территории</w:t>
            </w:r>
          </w:p>
        </w:tc>
        <w:tc>
          <w:tcPr>
            <w:tcW w:w="1984" w:type="dxa"/>
            <w:gridSpan w:val="2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Проектные предложения</w:t>
            </w:r>
          </w:p>
        </w:tc>
        <w:tc>
          <w:tcPr>
            <w:tcW w:w="1701" w:type="dxa"/>
            <w:gridSpan w:val="2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Существ. положение</w:t>
            </w:r>
          </w:p>
        </w:tc>
      </w:tr>
      <w:tr w:rsidR="008215FA" w:rsidRPr="008215FA" w:rsidTr="008215FA">
        <w:tc>
          <w:tcPr>
            <w:tcW w:w="6062" w:type="dxa"/>
            <w:vMerge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га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га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%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Территория в границах участка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34,18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34,16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100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Территория в границах красных линий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28,69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83,69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Территория жилой застройки: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15,06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44,06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 многоэтажная застройка (9-12 эт.)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4,79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14,01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 средне этажная застройка (5-7 эт.)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6,13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17,93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 малоэтажная застройка (3 эт.)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4,14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12,11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Территория учреждений и предприятий повседневного пользования: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8,93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26,12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 общеобразовательной школы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3,42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 детских дошкольных учреждений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3,53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10,32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 социально-культурно-бытовых объектов обслуживания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1,98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5,78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Территория общего пользования: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11,89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34,79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 зоны отдыха и зеленых насаждений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3,53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10,32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 дороги,улицы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8,36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24,45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  <w:tr w:rsidR="008215FA" w:rsidRPr="008215FA" w:rsidTr="008215FA">
        <w:trPr>
          <w:trHeight w:val="267"/>
        </w:trPr>
        <w:tc>
          <w:tcPr>
            <w:tcW w:w="606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lastRenderedPageBreak/>
              <w:t>Территория инженерных сооружений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0,17</w:t>
            </w:r>
          </w:p>
        </w:tc>
        <w:tc>
          <w:tcPr>
            <w:tcW w:w="992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0,52</w:t>
            </w:r>
          </w:p>
        </w:tc>
        <w:tc>
          <w:tcPr>
            <w:tcW w:w="851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215FA" w:rsidRPr="008215FA" w:rsidRDefault="008215FA" w:rsidP="008215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noProof/>
                <w:sz w:val="26"/>
                <w:szCs w:val="26"/>
              </w:rPr>
              <w:t>-</w:t>
            </w:r>
          </w:p>
        </w:tc>
      </w:tr>
    </w:tbl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Расчет показателей выполнен при обеспеченности общей площадью квартиры 22 кв. м/чел для жилых домов массового типа согласно «Нормативам градостроительного проектирования Свердловской области» НГПСО 1-2009.66.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Плотность населения проектируемого участка соответствует </w:t>
      </w:r>
      <w:proofErr w:type="gramStart"/>
      <w:r w:rsidRPr="008215FA">
        <w:rPr>
          <w:rFonts w:ascii="Times New Roman" w:eastAsia="Calibri" w:hAnsi="Times New Roman" w:cs="Times New Roman"/>
          <w:iCs/>
          <w:sz w:val="28"/>
          <w:szCs w:val="28"/>
        </w:rPr>
        <w:t>нормативной</w:t>
      </w:r>
      <w:proofErr w:type="gramEnd"/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 и составляет - 220 чел/га.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Таблица 2. Основные показатели планируемого развития территории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5085"/>
        <w:gridCol w:w="1699"/>
        <w:gridCol w:w="1700"/>
      </w:tblGrid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№ пункта</w:t>
            </w: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Количество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Площадь участка проектирования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га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34,16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многоэтажной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4,8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средне 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6,1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малоэтажной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4,1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Расчетная численность населения, в том числе: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тыс. чел.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8,300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многоэтажной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3,900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средне 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3,400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малоэтажной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1,000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Плотность населения: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чел/</w:t>
            </w:r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220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многоэтажной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250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средне 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200</w:t>
            </w:r>
          </w:p>
        </w:tc>
      </w:tr>
      <w:tr w:rsidR="008215FA" w:rsidRPr="008215FA" w:rsidTr="008215FA">
        <w:tc>
          <w:tcPr>
            <w:tcW w:w="959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- малоэтажной жилой застройки</w:t>
            </w: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85</w:t>
            </w:r>
          </w:p>
        </w:tc>
      </w:tr>
    </w:tbl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15FA" w:rsidRPr="008215FA" w:rsidRDefault="008215FA" w:rsidP="008215FA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Объемно-планировочные решения застройки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Территория проектирования имеет ровный, с незначительным уклоном рельеф падением с северо-запада на юго-восток. Объемно композиционное решение основано на использовании существующего рельефа.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Основой композиции является п</w:t>
      </w:r>
      <w:r w:rsidR="00C80BA5">
        <w:rPr>
          <w:rFonts w:ascii="Times New Roman" w:eastAsia="Calibri" w:hAnsi="Times New Roman" w:cs="Times New Roman"/>
          <w:iCs/>
          <w:sz w:val="28"/>
          <w:szCs w:val="28"/>
        </w:rPr>
        <w:t>онижение</w:t>
      </w: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 высот этажности от проспекта Ленинградского в сторону существующей улицы Алтайской.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С севера, по проектируемому проспекту Ленинградскому располагается жилая секционная застройка в 5-7 этажей со встроенно-пристроенными объектами общественного назначения, и 9-12 этажей с встроенно-пристроенными подземными паркингами, с возможностью размещения дополнительных секций доминант в 18-20 этажей.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Планировочная центральная часть композиции отделена проездом, пешеходной зоной и парковой зоной от застройки вдоль проспекта Ленинградского. Она включает в себя общеобразовательную школу, два детских сада, жилую средне этажную застройку в 5-7 этажей. Центральный проезд дает возможность обслуживания, как и общеобразовательную школу, детские сады, так и жилую застройку.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Южная часть проекта является общественной зоной, зоной крупного торгового центра вдоль улицы Алтайской, за которым расположена малоэтажная секционная застройкой - 3 этажа. Малоэтажная застройка </w:t>
      </w:r>
      <w:r w:rsidRPr="008215F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отделена пешеходной зоной, которая связывает ее с центральной частью, детскими садами, общеобразовательной школой и блокированной застройкой.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Следует отметить, что вдоль восточной границы участок проектирования граничит с большим гаражным кооперативом, вследствие чего проектным решением было принято отделение жилой зоны от гаражного кооператива улицей местного значения, за которой размещена блокированная застройка.</w:t>
      </w:r>
    </w:p>
    <w:p w:rsidR="008215FA" w:rsidRPr="008215FA" w:rsidRDefault="008215FA" w:rsidP="008215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15FA" w:rsidRPr="008215FA" w:rsidRDefault="008215FA" w:rsidP="008215FA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  <w:u w:val="single"/>
        </w:rPr>
        <w:t>Использование внутренней части кварталов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Характер использования внутренней части жилого квартала был выявлен из вида застройки и ее этажности, функциональности и наполненности.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Пример использования территории квартала: застройка многоквартирными жилыми домами </w:t>
      </w:r>
      <w:r>
        <w:rPr>
          <w:rFonts w:ascii="Times New Roman" w:eastAsia="Calibri" w:hAnsi="Times New Roman" w:cs="Times New Roman"/>
          <w:iCs/>
          <w:sz w:val="28"/>
          <w:szCs w:val="28"/>
        </w:rPr>
        <w:t>9-12 этажей с прилежащим двором</w:t>
      </w: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. При таком использовании квартала, внутреннее дворовое пространство будет предназначено для жителей дома, а внешнее – для хранения личного автотранспорта.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Для среднеэтажной и малоэтажной застройки применяется </w:t>
      </w:r>
      <w:proofErr w:type="spellStart"/>
      <w:r w:rsidRPr="008215FA">
        <w:rPr>
          <w:rFonts w:ascii="Times New Roman" w:eastAsia="Calibri" w:hAnsi="Times New Roman" w:cs="Times New Roman"/>
          <w:iCs/>
          <w:sz w:val="28"/>
          <w:szCs w:val="28"/>
        </w:rPr>
        <w:t>внутридворовое</w:t>
      </w:r>
      <w:proofErr w:type="spellEnd"/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 пространство, используемое для хранения личного автотранспорта и хозяйственных целей. Зона отдыха с детскими площадками в таком случае вынесена за пределы жилого квартала – в парковую зону для среднеэтажной застройки, и в </w:t>
      </w:r>
      <w:proofErr w:type="spellStart"/>
      <w:r w:rsidRPr="008215FA">
        <w:rPr>
          <w:rFonts w:ascii="Times New Roman" w:eastAsia="Calibri" w:hAnsi="Times New Roman" w:cs="Times New Roman"/>
          <w:iCs/>
          <w:sz w:val="28"/>
          <w:szCs w:val="28"/>
        </w:rPr>
        <w:t>пешеходно-прогулочную</w:t>
      </w:r>
      <w:proofErr w:type="spellEnd"/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 зону для малоэтажной застройки.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Так же дворовое пространство рассчитано на необходимое количество индивидуальных парковочных мест для постоянного хранения автомобилей жильцов дома. В связи с высоким уровнем автомобилизации города запроектированы подземные, встроенно-пристроенные, многоуровневые паркинги вблизи от жилых домов с въездами и выездами из них.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Проектом планировки предусматриваются нормативное озеленение жилой застройки, сформированное за счет территории общего пользования – парковой зоной, пешеходной зоной, </w:t>
      </w:r>
      <w:proofErr w:type="spellStart"/>
      <w:r w:rsidRPr="008215FA">
        <w:rPr>
          <w:rFonts w:ascii="Times New Roman" w:eastAsia="Calibri" w:hAnsi="Times New Roman" w:cs="Times New Roman"/>
          <w:iCs/>
          <w:sz w:val="28"/>
          <w:szCs w:val="28"/>
        </w:rPr>
        <w:t>внутридворовыми</w:t>
      </w:r>
      <w:proofErr w:type="spellEnd"/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 пространствами.</w:t>
      </w:r>
    </w:p>
    <w:p w:rsidR="008215FA" w:rsidRPr="008215FA" w:rsidRDefault="008215FA" w:rsidP="008215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15FA" w:rsidRPr="008215FA" w:rsidRDefault="008215FA" w:rsidP="008215FA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Система социального и культурно-бытового обслуживания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Система социального и культурно-бытового обслуживания решается в проекте за счет строительства многофункциональных и специализированных зданий и встроенно-пристроенных объектов, обеспечивающих необходимый комплекс социальных и бытовых услуг населению с учетом нормативной шаговой и транспортной доступности.</w:t>
      </w:r>
    </w:p>
    <w:p w:rsidR="008215FA" w:rsidRPr="008215FA" w:rsidRDefault="008215FA" w:rsidP="00BF40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 Минимальные расчетные показатели обеспеченности населения объектами социальной инфраструктуры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57"/>
        <w:gridCol w:w="1417"/>
        <w:gridCol w:w="1418"/>
        <w:gridCol w:w="3685"/>
      </w:tblGrid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BF403F" w:rsidRDefault="008215FA" w:rsidP="00BF4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="00BF403F"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r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п. </w:t>
            </w:r>
          </w:p>
        </w:tc>
        <w:tc>
          <w:tcPr>
            <w:tcW w:w="2657" w:type="dxa"/>
            <w:vAlign w:val="center"/>
            <w:hideMark/>
          </w:tcPr>
          <w:p w:rsidR="008215FA" w:rsidRPr="00BF403F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  <w:hideMark/>
          </w:tcPr>
          <w:p w:rsidR="008215FA" w:rsidRPr="00BF403F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  <w:hideMark/>
          </w:tcPr>
          <w:p w:rsidR="008215FA" w:rsidRPr="00BF403F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Расчетный показатель</w:t>
            </w:r>
          </w:p>
        </w:tc>
        <w:tc>
          <w:tcPr>
            <w:tcW w:w="3685" w:type="dxa"/>
            <w:vAlign w:val="center"/>
            <w:hideMark/>
          </w:tcPr>
          <w:p w:rsidR="008215FA" w:rsidRPr="00BF403F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Показатель</w:t>
            </w:r>
          </w:p>
          <w:p w:rsidR="008215FA" w:rsidRPr="00BF403F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0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(проект)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дошкольные образовательные </w:t>
            </w: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мест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460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500 (2 отдельно стоящих ДОУ на 235мест + 30 мест </w:t>
            </w:r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встроенно-пристроенный</w:t>
            </w:r>
            <w:proofErr w:type="gramEnd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ДОУ)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учащихся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913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1100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аптеки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1 (помещение во встроенно-пристроенном объекте обслуживания) 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предприятия торговли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</w:t>
            </w: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торг</w:t>
            </w:r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</w:t>
            </w:r>
            <w:proofErr w:type="gramEnd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лощади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4560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6000 (помещения входящие в состав торгового центра, частично - помещения во встроенно-пристроенном объекте обслуживания)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/мест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375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400 (помещения входящие в состав торгового центра)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6.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рынки 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</w:t>
            </w: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торг</w:t>
            </w:r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</w:t>
            </w:r>
            <w:proofErr w:type="gramEnd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</w:t>
            </w:r>
            <w:proofErr w:type="gramEnd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лощади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581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600 (помещения входящие в состав торгового центра)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7.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кинотеатры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мест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100 (помещения входящие в состав торгового центра)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8.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предприятия бытовых услуг 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рабочих мест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58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60 (помещения входящие в состав торгового центра, частично - помещения </w:t>
            </w:r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</w:t>
            </w:r>
            <w:proofErr w:type="gramEnd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встроенно-пристроенном объекте обслуживания)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9.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жилищно-эксплуатац</w:t>
            </w:r>
            <w:proofErr w:type="spellEnd"/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 организации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 (помещение во встроенно-пристроенном объекте обслуживания)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спортивные школы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учащихся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270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300 (отдельно стоящее здание СОК с бассейном)</w:t>
            </w:r>
          </w:p>
        </w:tc>
      </w:tr>
      <w:tr w:rsidR="008215FA" w:rsidRPr="008215FA" w:rsidTr="008215FA">
        <w:tc>
          <w:tcPr>
            <w:tcW w:w="67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11.</w:t>
            </w:r>
          </w:p>
        </w:tc>
        <w:tc>
          <w:tcPr>
            <w:tcW w:w="265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отделения банков, отделения связи</w:t>
            </w:r>
          </w:p>
        </w:tc>
        <w:tc>
          <w:tcPr>
            <w:tcW w:w="1417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шт.</w:t>
            </w:r>
          </w:p>
        </w:tc>
        <w:tc>
          <w:tcPr>
            <w:tcW w:w="1418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 (помещение во встроенно-пристроенном объекте обслуживания)</w:t>
            </w:r>
          </w:p>
        </w:tc>
      </w:tr>
    </w:tbl>
    <w:p w:rsidR="008215FA" w:rsidRPr="008215FA" w:rsidRDefault="008215FA" w:rsidP="008215F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15FA" w:rsidRPr="008215FA" w:rsidRDefault="008215FA" w:rsidP="00FA6372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  <w:u w:val="single"/>
        </w:rPr>
        <w:t>Улично-дорожная сеть и транспортная инфраструктура</w:t>
      </w:r>
    </w:p>
    <w:p w:rsidR="008215FA" w:rsidRPr="008215FA" w:rsidRDefault="008215FA" w:rsidP="00FA63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Участок микрорайона спроектирован с учетом существующей улично-дорожной сети и транспортной инфраструктуры.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Проектом предусмотрена организация транспортной связи района с другими жилыми районами города выходом на Свердловское шоссе и улицу Фестивальную через улицу Алтайскую, и на Восточное шоссе через улицу Автомобилистов.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В границе проектирования сформированы: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- магистральная улица районного значения транспортно-пешеходная (продолжение проспекта Ленинградского)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- улицы в жилой застройке;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- основные проезды.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Остановочные пункты автотранспорта предусмотрены по улице Алтайской – одна остановка (по обе стороны), и по продолжаемому </w:t>
      </w:r>
      <w:r w:rsidRPr="008215F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проспекту Ленинградскому – 2 остановки (по обе стороны) через 400м. Остановочные пункты выполнены в виде карманов и оборудованы павильонами для ожидания.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Важная задача транспортной схемы – организация пешеходного движения.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Вдоль улиц и проездов планируются пешеходные тротуары шириной                           в зависимости от категории улицы. Внутри микрорайона, связывая жилые дома               и участки, организовано пешеходное движение по благоустроенной парковой зоне               и зоне отдыха.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Пешеходные переходы запроектированы на перекрестках улиц и в местах наибольшего потока пешеходов.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Также проектом предусмотрена организация велосипедного движения. Оно организовано вдоль всех улиц и на основных путях пешеходного движения. Велосипедные дорожки организованы за счет дополнительной ширины тротуара, разделенной от пешеходной части бордюром или специальной разметкой. Ширина такого тротуара с дорожкой будет вмещать необходимый объем велосипедного и пешеходного трафика. </w:t>
      </w:r>
    </w:p>
    <w:p w:rsidR="00C80BA5" w:rsidRDefault="00C80BA5" w:rsidP="00C80BA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215FA" w:rsidRPr="00C80BA5" w:rsidRDefault="008215FA" w:rsidP="00C80BA5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80BA5">
        <w:rPr>
          <w:rFonts w:ascii="Times New Roman" w:eastAsia="Calibri" w:hAnsi="Times New Roman" w:cs="Times New Roman"/>
          <w:iCs/>
          <w:sz w:val="28"/>
          <w:szCs w:val="28"/>
          <w:u w:val="single"/>
        </w:rPr>
        <w:t>Хранение автотранспорта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Размещение стоянок и гаражей в пределах квартала предусматривается в наземных и в подземных уровнях. Открытые автостоянки постоянного хранения автотранспорта организованы вдоль дублеров улиц, внутри дворов для жилой застройки и кратковременные - на специально выделенных площадках у зданий общественного назначения.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Основная часть личного автотранспорта хранится в предусмотренных проектом наземно-подземных авто паркингах, расположенных под жилыми домами в разных уровнях, и пристроенными многоуровневых паркингах, размеры которых определены по расчету. 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>Расчет количества парковочных мест выполнен в соответствии с прогнозом на 2030 год (400 ед. авто на 1000 жителей.) Согласно «Генеральному плану городского округа Нижний Тагил применительно к населенному пункту город Нижний Тагил», утвержденному Решением Нижнетагильской городской Думы от 25.11.2010 № 67, прогнозный уровень автомобилизации в 2030 году составит 400 ед. на 1000 жителей.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Таблица </w:t>
      </w:r>
      <w:r w:rsidR="00C80BA5"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8215FA">
        <w:rPr>
          <w:rFonts w:ascii="Times New Roman" w:eastAsia="Calibri" w:hAnsi="Times New Roman" w:cs="Times New Roman"/>
          <w:iCs/>
          <w:sz w:val="28"/>
          <w:szCs w:val="28"/>
        </w:rPr>
        <w:t xml:space="preserve"> Виды и количество парковочных мест:</w:t>
      </w:r>
    </w:p>
    <w:tbl>
      <w:tblPr>
        <w:tblW w:w="9656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95"/>
        <w:gridCol w:w="2409"/>
        <w:gridCol w:w="1752"/>
      </w:tblGrid>
      <w:tr w:rsidR="008215FA" w:rsidRPr="008215FA" w:rsidTr="008215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Наименование</w:t>
            </w:r>
          </w:p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парковки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Количество, </w:t>
            </w:r>
            <w:proofErr w:type="spellStart"/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маш</w:t>
            </w:r>
            <w:proofErr w:type="spellEnd"/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./мест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% от общего количества</w:t>
            </w:r>
          </w:p>
        </w:tc>
      </w:tr>
      <w:tr w:rsidR="008215FA" w:rsidRPr="008215FA" w:rsidTr="008215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Постоянного хранения (открытого типа)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1131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34,9</w:t>
            </w:r>
          </w:p>
        </w:tc>
      </w:tr>
      <w:tr w:rsidR="008215FA" w:rsidRPr="008215FA" w:rsidTr="008215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Постоянного хранения (подземного типа)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32,4</w:t>
            </w:r>
          </w:p>
        </w:tc>
      </w:tr>
      <w:tr w:rsidR="008215FA" w:rsidRPr="008215FA" w:rsidTr="008215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Наземные гаражи-боксы (существующие)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215FA" w:rsidRPr="008215FA" w:rsidTr="008215F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FA" w:rsidRPr="008215FA" w:rsidRDefault="008215FA" w:rsidP="008215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Временные</w:t>
            </w:r>
            <w:proofErr w:type="gramEnd"/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(открытого типа)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575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FA" w:rsidRPr="008215FA" w:rsidRDefault="008215FA" w:rsidP="00821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5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8,2</w:t>
            </w:r>
          </w:p>
        </w:tc>
      </w:tr>
    </w:tbl>
    <w:p w:rsidR="008215FA" w:rsidRPr="008215FA" w:rsidRDefault="008215FA" w:rsidP="008215F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215FA" w:rsidRPr="00C80BA5" w:rsidRDefault="008215FA" w:rsidP="00C80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80BA5">
        <w:rPr>
          <w:rFonts w:ascii="Times New Roman" w:hAnsi="Times New Roman" w:cs="Times New Roman"/>
          <w:sz w:val="28"/>
          <w:szCs w:val="28"/>
          <w:u w:val="single"/>
        </w:rPr>
        <w:t>Мероприятия по благоустройству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FA">
        <w:rPr>
          <w:rFonts w:ascii="Times New Roman" w:hAnsi="Times New Roman" w:cs="Times New Roman"/>
          <w:sz w:val="28"/>
          <w:szCs w:val="28"/>
        </w:rPr>
        <w:t xml:space="preserve">Элементами благоустройства на проектируемой территории являются площадки отдыха, создаваемые внутри жилых групп и остановочные </w:t>
      </w:r>
      <w:r w:rsidRPr="008215FA">
        <w:rPr>
          <w:rFonts w:ascii="Times New Roman" w:hAnsi="Times New Roman" w:cs="Times New Roman"/>
          <w:sz w:val="28"/>
          <w:szCs w:val="28"/>
        </w:rPr>
        <w:lastRenderedPageBreak/>
        <w:t>павильоны общественного транспорта, устанавливаемые на остановках автотранспорта. У зданий общественного назначения предполагается установка малых архитектурных форм – скамеек, вазонов, урн.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FA">
        <w:rPr>
          <w:rFonts w:ascii="Times New Roman" w:hAnsi="Times New Roman" w:cs="Times New Roman"/>
          <w:sz w:val="28"/>
          <w:szCs w:val="28"/>
        </w:rPr>
        <w:t>Одним из важных элементов благоустройства являются зеленые насаждения. Проектом планировки предусмотрено озеленение всех территорий, свободных от застройки и покрытий дорог и тротуаров.</w:t>
      </w:r>
    </w:p>
    <w:p w:rsidR="008215FA" w:rsidRPr="008215FA" w:rsidRDefault="008215FA" w:rsidP="00821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5FA">
        <w:rPr>
          <w:rFonts w:ascii="Times New Roman" w:hAnsi="Times New Roman" w:cs="Times New Roman"/>
          <w:sz w:val="28"/>
          <w:szCs w:val="28"/>
        </w:rPr>
        <w:t>Огромное значение имеет создание пешеходной зеленой полосы разделяющей жилую застройку.</w:t>
      </w:r>
    </w:p>
    <w:p w:rsidR="008215FA" w:rsidRPr="008215FA" w:rsidRDefault="008215FA" w:rsidP="008215FA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sectPr w:rsidR="008215FA" w:rsidRPr="008215FA" w:rsidSect="00F2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A67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600998"/>
    <w:multiLevelType w:val="hybridMultilevel"/>
    <w:tmpl w:val="92E00C3C"/>
    <w:lvl w:ilvl="0" w:tplc="08F4DD7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2BF17C55"/>
    <w:multiLevelType w:val="multilevel"/>
    <w:tmpl w:val="390833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303F0D5E"/>
    <w:multiLevelType w:val="multilevel"/>
    <w:tmpl w:val="DC205FFA"/>
    <w:lvl w:ilvl="0">
      <w:start w:val="2"/>
      <w:numFmt w:val="decimal"/>
      <w:lvlText w:val="%1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4">
    <w:nsid w:val="36E937C0"/>
    <w:multiLevelType w:val="multilevel"/>
    <w:tmpl w:val="F34A1B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FF3A85"/>
    <w:multiLevelType w:val="multilevel"/>
    <w:tmpl w:val="7D9071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cs="Times New Roman" w:hint="default"/>
      </w:rPr>
    </w:lvl>
  </w:abstractNum>
  <w:abstractNum w:abstractNumId="6">
    <w:nsid w:val="49D957DF"/>
    <w:multiLevelType w:val="multilevel"/>
    <w:tmpl w:val="7C565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57576A5C"/>
    <w:multiLevelType w:val="multilevel"/>
    <w:tmpl w:val="4E9ABC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5FFC10EC"/>
    <w:multiLevelType w:val="hybridMultilevel"/>
    <w:tmpl w:val="688094E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60E505A1"/>
    <w:multiLevelType w:val="multilevel"/>
    <w:tmpl w:val="2FC6422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C3"/>
    <w:rsid w:val="00004E09"/>
    <w:rsid w:val="008215FA"/>
    <w:rsid w:val="009F76FD"/>
    <w:rsid w:val="00B7663A"/>
    <w:rsid w:val="00BF403F"/>
    <w:rsid w:val="00C80BA5"/>
    <w:rsid w:val="00CA13C3"/>
    <w:rsid w:val="00D73569"/>
    <w:rsid w:val="00F24B46"/>
    <w:rsid w:val="00FA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6"/>
  </w:style>
  <w:style w:type="paragraph" w:styleId="1">
    <w:name w:val="heading 1"/>
    <w:basedOn w:val="a"/>
    <w:next w:val="a"/>
    <w:link w:val="10"/>
    <w:uiPriority w:val="9"/>
    <w:qFormat/>
    <w:rsid w:val="008215FA"/>
    <w:pPr>
      <w:keepNext/>
      <w:pageBreakBefore/>
      <w:numPr>
        <w:numId w:val="2"/>
      </w:numPr>
      <w:tabs>
        <w:tab w:val="clear" w:pos="1800"/>
        <w:tab w:val="num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215FA"/>
    <w:pPr>
      <w:keepNext/>
      <w:numPr>
        <w:ilvl w:val="1"/>
        <w:numId w:val="3"/>
      </w:numPr>
      <w:tabs>
        <w:tab w:val="num" w:pos="360"/>
      </w:tabs>
      <w:spacing w:before="240" w:after="60" w:line="240" w:lineRule="auto"/>
      <w:ind w:left="1440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15FA"/>
    <w:pPr>
      <w:keepNext/>
      <w:numPr>
        <w:ilvl w:val="2"/>
        <w:numId w:val="3"/>
      </w:numPr>
      <w:tabs>
        <w:tab w:val="num" w:pos="360"/>
      </w:tabs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8215FA"/>
    <w:pPr>
      <w:keepNext/>
      <w:numPr>
        <w:ilvl w:val="3"/>
        <w:numId w:val="3"/>
      </w:numPr>
      <w:tabs>
        <w:tab w:val="num" w:pos="360"/>
      </w:tabs>
      <w:spacing w:before="240" w:after="60" w:line="240" w:lineRule="auto"/>
      <w:ind w:left="2880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8215FA"/>
    <w:pPr>
      <w:numPr>
        <w:ilvl w:val="4"/>
        <w:numId w:val="3"/>
      </w:numPr>
      <w:tabs>
        <w:tab w:val="num" w:pos="360"/>
      </w:tabs>
      <w:spacing w:before="240" w:after="60" w:line="240" w:lineRule="auto"/>
      <w:ind w:left="3600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rsid w:val="008215FA"/>
    <w:pPr>
      <w:numPr>
        <w:ilvl w:val="5"/>
        <w:numId w:val="3"/>
      </w:numPr>
      <w:tabs>
        <w:tab w:val="num" w:pos="360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"/>
    <w:next w:val="a"/>
    <w:link w:val="70"/>
    <w:rsid w:val="008215FA"/>
    <w:pPr>
      <w:numPr>
        <w:ilvl w:val="6"/>
        <w:numId w:val="3"/>
      </w:numPr>
      <w:tabs>
        <w:tab w:val="num" w:pos="360"/>
      </w:tabs>
      <w:spacing w:before="240" w:after="60" w:line="240" w:lineRule="auto"/>
      <w:ind w:left="504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8215FA"/>
    <w:pPr>
      <w:numPr>
        <w:ilvl w:val="7"/>
        <w:numId w:val="3"/>
      </w:numPr>
      <w:tabs>
        <w:tab w:val="num" w:pos="360"/>
      </w:tabs>
      <w:spacing w:before="240" w:after="60" w:line="240" w:lineRule="auto"/>
      <w:ind w:left="57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8215FA"/>
    <w:pPr>
      <w:numPr>
        <w:ilvl w:val="8"/>
        <w:numId w:val="3"/>
      </w:numPr>
      <w:tabs>
        <w:tab w:val="num" w:pos="360"/>
      </w:tabs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5FA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5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5F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15FA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15FA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821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1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15FA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CA13C3"/>
    <w:pPr>
      <w:spacing w:after="0" w:line="240" w:lineRule="auto"/>
    </w:pPr>
    <w:rPr>
      <w:rFonts w:ascii="Arial" w:eastAsia="Arial" w:hAnsi="Arial" w:cs="Times New Roman"/>
    </w:rPr>
  </w:style>
  <w:style w:type="paragraph" w:styleId="a4">
    <w:name w:val="List Paragraph"/>
    <w:basedOn w:val="a"/>
    <w:uiPriority w:val="34"/>
    <w:qFormat/>
    <w:rsid w:val="00CA13C3"/>
    <w:pPr>
      <w:ind w:left="720"/>
      <w:contextualSpacing/>
    </w:pPr>
    <w:rPr>
      <w:rFonts w:ascii="Arial" w:eastAsia="Arial" w:hAnsi="Arial" w:cs="Times New Roman"/>
    </w:rPr>
  </w:style>
  <w:style w:type="paragraph" w:customStyle="1" w:styleId="a5">
    <w:name w:val="Основа"/>
    <w:basedOn w:val="a"/>
    <w:rsid w:val="00CA13C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CA13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3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215FA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215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821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8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21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215FA"/>
  </w:style>
  <w:style w:type="character" w:customStyle="1" w:styleId="21">
    <w:name w:val="Основной текст с отступом 2 Знак"/>
    <w:basedOn w:val="a0"/>
    <w:link w:val="22"/>
    <w:semiHidden/>
    <w:rsid w:val="008215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rsid w:val="008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2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8215FA"/>
    <w:pPr>
      <w:widowControl w:val="0"/>
      <w:overflowPunct w:val="0"/>
      <w:autoSpaceDE w:val="0"/>
      <w:autoSpaceDN w:val="0"/>
      <w:adjustRightInd w:val="0"/>
      <w:spacing w:after="0" w:line="240" w:lineRule="auto"/>
      <w:ind w:left="320"/>
      <w:textAlignment w:val="baseline"/>
    </w:pPr>
    <w:rPr>
      <w:rFonts w:ascii="Times New Roman CYR" w:eastAsia="Times New Roman" w:hAnsi="Times New Roman CYR" w:cs="Times New Roman"/>
      <w:sz w:val="64"/>
      <w:szCs w:val="20"/>
      <w:lang w:eastAsia="ru-RU"/>
    </w:rPr>
  </w:style>
  <w:style w:type="paragraph" w:customStyle="1" w:styleId="FR3">
    <w:name w:val="FR3"/>
    <w:rsid w:val="008215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noProof/>
      <w:sz w:val="48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8215F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1">
    <w:name w:val="Текст Знак"/>
    <w:basedOn w:val="a0"/>
    <w:link w:val="af0"/>
    <w:uiPriority w:val="99"/>
    <w:rsid w:val="008215FA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8215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2">
    <w:name w:val="Знак"/>
    <w:basedOn w:val="a"/>
    <w:rsid w:val="008215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">
    <w:name w:val="text"/>
    <w:basedOn w:val="a0"/>
    <w:rsid w:val="008215FA"/>
    <w:rPr>
      <w:rFonts w:cs="Times New Roman"/>
    </w:rPr>
  </w:style>
  <w:style w:type="paragraph" w:customStyle="1" w:styleId="11">
    <w:name w:val="Обычный1"/>
    <w:basedOn w:val="a"/>
    <w:rsid w:val="0082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215F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21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8215FA"/>
    <w:rPr>
      <w:b/>
    </w:rPr>
  </w:style>
  <w:style w:type="character" w:customStyle="1" w:styleId="review-h52">
    <w:name w:val="review-h52"/>
    <w:rsid w:val="008215FA"/>
    <w:rPr>
      <w:b/>
      <w:color w:val="004080"/>
      <w:sz w:val="18"/>
      <w:u w:val="none"/>
      <w:effect w:val="none"/>
    </w:rPr>
  </w:style>
  <w:style w:type="paragraph" w:customStyle="1" w:styleId="af6">
    <w:name w:val="штамп"/>
    <w:basedOn w:val="a"/>
    <w:rsid w:val="008215F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wordnormal">
    <w:name w:val="Tword_normal"/>
    <w:basedOn w:val="a"/>
    <w:rsid w:val="008215FA"/>
    <w:pPr>
      <w:spacing w:after="0" w:line="240" w:lineRule="auto"/>
      <w:ind w:firstLine="709"/>
      <w:jc w:val="both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paragraph" w:customStyle="1" w:styleId="12">
    <w:name w:val="Текст1"/>
    <w:basedOn w:val="a"/>
    <w:rsid w:val="008215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">
    <w:name w:val="ПЗ-Список"/>
    <w:basedOn w:val="a"/>
    <w:rsid w:val="008215FA"/>
    <w:pPr>
      <w:tabs>
        <w:tab w:val="num" w:pos="1800"/>
      </w:tabs>
      <w:spacing w:after="0" w:line="240" w:lineRule="auto"/>
      <w:ind w:right="5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215FA"/>
  </w:style>
  <w:style w:type="character" w:styleId="af7">
    <w:name w:val="Subtle Emphasis"/>
    <w:basedOn w:val="a0"/>
    <w:uiPriority w:val="19"/>
    <w:qFormat/>
    <w:rsid w:val="008215FA"/>
    <w:rPr>
      <w:i/>
      <w:color w:val="808080"/>
    </w:rPr>
  </w:style>
  <w:style w:type="paragraph" w:styleId="af8">
    <w:name w:val="Subtitle"/>
    <w:basedOn w:val="a"/>
    <w:next w:val="a"/>
    <w:link w:val="af9"/>
    <w:uiPriority w:val="11"/>
    <w:qFormat/>
    <w:rsid w:val="008215FA"/>
    <w:pPr>
      <w:numPr>
        <w:ilvl w:val="1"/>
      </w:numPr>
    </w:pPr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8215F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styleId="afa">
    <w:name w:val="caption"/>
    <w:basedOn w:val="a"/>
    <w:next w:val="a"/>
    <w:uiPriority w:val="35"/>
    <w:unhideWhenUsed/>
    <w:qFormat/>
    <w:rsid w:val="008215F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rrow">
    <w:name w:val="arrow"/>
    <w:basedOn w:val="a0"/>
    <w:rsid w:val="008215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3C3"/>
    <w:pPr>
      <w:spacing w:after="0" w:line="240" w:lineRule="auto"/>
    </w:pPr>
    <w:rPr>
      <w:rFonts w:ascii="Arial" w:eastAsia="Arial" w:hAnsi="Arial" w:cs="Times New Roman"/>
    </w:rPr>
  </w:style>
  <w:style w:type="paragraph" w:styleId="a4">
    <w:name w:val="List Paragraph"/>
    <w:basedOn w:val="a"/>
    <w:qFormat/>
    <w:rsid w:val="00CA13C3"/>
    <w:pPr>
      <w:ind w:left="720"/>
      <w:contextualSpacing/>
    </w:pPr>
    <w:rPr>
      <w:rFonts w:ascii="Arial" w:eastAsia="Arial" w:hAnsi="Arial" w:cs="Times New Roman"/>
    </w:rPr>
  </w:style>
  <w:style w:type="paragraph" w:customStyle="1" w:styleId="a5">
    <w:name w:val="Основа"/>
    <w:basedOn w:val="a"/>
    <w:rsid w:val="00CA13C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qFormat/>
    <w:rsid w:val="00CA13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Зислина Е.В.</dc:creator>
  <cp:lastModifiedBy>upr_inv15</cp:lastModifiedBy>
  <cp:revision>3</cp:revision>
  <dcterms:created xsi:type="dcterms:W3CDTF">2018-04-11T10:34:00Z</dcterms:created>
  <dcterms:modified xsi:type="dcterms:W3CDTF">2018-04-13T12:57:00Z</dcterms:modified>
</cp:coreProperties>
</file>